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308713</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Inchon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Korea,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22</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general aspects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8.14.4.1</w:t>
      </w:r>
      <w:bookmarkStart w:id="2" w:name="_GoBack"/>
      <w:bookmarkEnd w:id="2"/>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on RRM aspects in ATG case. The following conclusion were achieved in [1] around general aspects: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9514" w:type="dxa"/>
          </w:tcPr>
          <w:p>
            <w:pPr>
              <w:rPr>
                <w:b/>
                <w:sz w:val="21"/>
                <w:szCs w:val="21"/>
                <w:u w:val="single"/>
                <w:lang w:eastAsia="ko-KR"/>
              </w:rPr>
            </w:pPr>
            <w:r>
              <w:rPr>
                <w:b/>
                <w:sz w:val="21"/>
                <w:szCs w:val="21"/>
                <w:u w:val="single"/>
                <w:lang w:eastAsia="ko-KR"/>
              </w:rPr>
              <w:t>Issue 1-1: Band grouping table</w:t>
            </w:r>
          </w:p>
          <w:p>
            <w:pPr>
              <w:rPr>
                <w:rFonts w:eastAsiaTheme="minorEastAsia"/>
                <w:b/>
                <w:sz w:val="21"/>
                <w:szCs w:val="21"/>
              </w:rPr>
            </w:pPr>
            <w:r>
              <w:rPr>
                <w:rFonts w:hint="eastAsia" w:eastAsiaTheme="minorEastAsia"/>
                <w:b/>
                <w:sz w:val="21"/>
                <w:szCs w:val="21"/>
              </w:rPr>
              <w:t>A</w:t>
            </w:r>
            <w:r>
              <w:rPr>
                <w:rFonts w:eastAsiaTheme="minorEastAsia"/>
                <w:b/>
                <w:sz w:val="21"/>
                <w:szCs w:val="21"/>
              </w:rPr>
              <w:t>greement:</w:t>
            </w:r>
          </w:p>
          <w:p>
            <w:pPr>
              <w:pStyle w:val="28"/>
              <w:numPr>
                <w:ilvl w:val="0"/>
                <w:numId w:val="3"/>
              </w:numPr>
              <w:spacing w:after="120"/>
              <w:ind w:firstLineChars="0"/>
              <w:rPr>
                <w:rFonts w:eastAsia="宋体" w:cs="Times New Roman"/>
                <w:sz w:val="21"/>
                <w:szCs w:val="21"/>
              </w:rPr>
            </w:pPr>
            <w:r>
              <w:rPr>
                <w:rFonts w:eastAsia="宋体" w:cs="Times New Roman"/>
                <w:sz w:val="21"/>
                <w:szCs w:val="21"/>
              </w:rPr>
              <w:t>The frequency band grouping tables from the legacy bands are reused for R18 ATG</w:t>
            </w:r>
          </w:p>
          <w:p>
            <w:pPr>
              <w:rPr>
                <w:b/>
                <w:sz w:val="21"/>
                <w:szCs w:val="21"/>
                <w:u w:val="single"/>
                <w:lang w:eastAsia="ko-KR"/>
              </w:rPr>
            </w:pPr>
            <w:bookmarkStart w:id="0" w:name="_Hlk133264377"/>
            <w:r>
              <w:rPr>
                <w:b/>
                <w:sz w:val="21"/>
                <w:szCs w:val="21"/>
                <w:u w:val="single"/>
                <w:lang w:eastAsia="ko-KR"/>
              </w:rPr>
              <w:t>Issue 1-3: How to involve ATG RRM core requirements in TS38.133</w:t>
            </w:r>
          </w:p>
          <w:bookmarkEnd w:id="0"/>
          <w:p>
            <w:pPr>
              <w:rPr>
                <w:rFonts w:eastAsiaTheme="minorEastAsia"/>
                <w:b/>
                <w:sz w:val="21"/>
                <w:szCs w:val="21"/>
              </w:rPr>
            </w:pPr>
            <w:r>
              <w:rPr>
                <w:rFonts w:hint="eastAsia" w:eastAsiaTheme="minorEastAsia"/>
                <w:b/>
                <w:sz w:val="21"/>
                <w:szCs w:val="21"/>
              </w:rPr>
              <w:t>T</w:t>
            </w:r>
            <w:r>
              <w:rPr>
                <w:rFonts w:eastAsiaTheme="minorEastAsia"/>
                <w:b/>
                <w:sz w:val="21"/>
                <w:szCs w:val="21"/>
              </w:rPr>
              <w:t>entative agreement:</w:t>
            </w:r>
          </w:p>
          <w:p>
            <w:pPr>
              <w:pStyle w:val="28"/>
              <w:numPr>
                <w:ilvl w:val="0"/>
                <w:numId w:val="3"/>
              </w:numPr>
              <w:spacing w:after="120"/>
              <w:ind w:firstLineChars="0"/>
              <w:rPr>
                <w:rFonts w:hint="default"/>
                <w:lang w:val="en-US" w:eastAsia="zh-CN"/>
              </w:rPr>
            </w:pPr>
            <w:r>
              <w:rPr>
                <w:rFonts w:eastAsia="宋体" w:cs="Times New Roman"/>
                <w:sz w:val="21"/>
                <w:szCs w:val="21"/>
              </w:rPr>
              <w:t>C</w:t>
            </w:r>
            <w:r>
              <w:rPr>
                <w:rFonts w:hint="eastAsia" w:eastAsia="宋体" w:cs="Times New Roman"/>
                <w:sz w:val="21"/>
                <w:szCs w:val="21"/>
              </w:rPr>
              <w:t>ome</w:t>
            </w:r>
            <w:r>
              <w:rPr>
                <w:rFonts w:eastAsia="宋体" w:cs="Times New Roman"/>
                <w:sz w:val="21"/>
                <w:szCs w:val="21"/>
              </w:rPr>
              <w:t xml:space="preserve"> back in next meeting</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While still several general aspects are suspending. In this document, we will provide some further analysis on the remaining general issues of ATG based on the characteristics of ATG scenario.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characteristics of ATG system and some approved assumption in RF session, the following key points should be noted:</w:t>
      </w:r>
    </w:p>
    <w:p>
      <w:pPr>
        <w:numPr>
          <w:ilvl w:val="0"/>
          <w:numId w:val="5"/>
        </w:numPr>
        <w:ind w:left="420" w:leftChars="0" w:hanging="420" w:firstLineChars="0"/>
        <w:rPr>
          <w:rFonts w:hint="default"/>
          <w:lang w:val="en-US" w:eastAsia="zh-CN"/>
        </w:rPr>
      </w:pPr>
      <w:r>
        <w:rPr>
          <w:rFonts w:hint="eastAsia"/>
          <w:lang w:val="en-US" w:eastAsia="zh-CN"/>
        </w:rPr>
        <w:t>Extremely large ISD, e.g. about 100km to 200 km</w:t>
      </w:r>
    </w:p>
    <w:p>
      <w:pPr>
        <w:numPr>
          <w:ilvl w:val="0"/>
          <w:numId w:val="5"/>
        </w:numPr>
        <w:ind w:left="420" w:leftChars="0" w:hanging="420" w:firstLineChars="0"/>
        <w:rPr>
          <w:rFonts w:hint="default"/>
          <w:lang w:val="en-US" w:eastAsia="zh-CN"/>
        </w:rPr>
      </w:pPr>
      <w:r>
        <w:rPr>
          <w:rFonts w:hint="eastAsia"/>
          <w:lang w:val="en-US" w:eastAsia="zh-CN"/>
        </w:rPr>
        <w:t>Extremely high flight speed, e.g. up to 1200km/h</w:t>
      </w:r>
    </w:p>
    <w:p>
      <w:pPr>
        <w:numPr>
          <w:ilvl w:val="0"/>
          <w:numId w:val="5"/>
        </w:numPr>
        <w:ind w:left="420" w:leftChars="0" w:hanging="420" w:firstLineChars="0"/>
        <w:rPr>
          <w:rFonts w:hint="default"/>
          <w:lang w:val="en-US" w:eastAsia="zh-CN"/>
        </w:rPr>
      </w:pPr>
      <w:r>
        <w:rPr>
          <w:rFonts w:hint="eastAsia"/>
          <w:lang w:val="en-US" w:eastAsia="zh-CN"/>
        </w:rPr>
        <w:t>Utilizing same frequency for deploying both ATG and TN(terrestrial network), e.g. n1, n78, n79 -- So only focus on FR1</w:t>
      </w:r>
    </w:p>
    <w:p>
      <w:pPr>
        <w:numPr>
          <w:ilvl w:val="0"/>
          <w:numId w:val="5"/>
        </w:numPr>
        <w:ind w:left="420" w:leftChars="0" w:hanging="420" w:firstLineChars="0"/>
        <w:rPr>
          <w:rFonts w:hint="default"/>
          <w:lang w:val="en-US" w:eastAsia="zh-CN"/>
        </w:rPr>
      </w:pPr>
      <w:r>
        <w:rPr>
          <w:rFonts w:hint="eastAsia"/>
          <w:lang w:val="en-US" w:eastAsia="zh-CN"/>
        </w:rPr>
        <w:t>Much powerful on-board ATG terminal capacity</w:t>
      </w:r>
    </w:p>
    <w:p>
      <w:pPr>
        <w:numPr>
          <w:ilvl w:val="0"/>
          <w:numId w:val="5"/>
        </w:numPr>
        <w:ind w:left="420" w:leftChars="0" w:hanging="420" w:firstLineChars="0"/>
        <w:rPr>
          <w:rFonts w:hint="default"/>
          <w:lang w:val="en-US" w:eastAsia="zh-CN"/>
        </w:rPr>
      </w:pPr>
      <w:r>
        <w:rPr>
          <w:rFonts w:hint="eastAsia"/>
          <w:lang w:val="en-US" w:eastAsia="zh-CN"/>
        </w:rPr>
        <w:t>R18 only focuses on SA mode and single connectivity with operation in a single band. DC, FR2, inter-RAT are not applicable to ATG. CA is possible in future release depending on demands</w:t>
      </w:r>
    </w:p>
    <w:p>
      <w:pPr>
        <w:numPr>
          <w:ilvl w:val="0"/>
          <w:numId w:val="5"/>
        </w:numPr>
        <w:ind w:left="420" w:leftChars="0" w:hanging="420" w:firstLineChars="0"/>
        <w:rPr>
          <w:rFonts w:hint="default"/>
          <w:lang w:val="en-US" w:eastAsia="zh-CN"/>
        </w:rPr>
      </w:pPr>
      <w:r>
        <w:rPr>
          <w:rFonts w:hint="eastAsia"/>
          <w:lang w:val="en-US" w:eastAsia="zh-CN"/>
        </w:rPr>
        <w:t>Height of CPE: 3km--10km</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provide our analysis for multiple RRM aspects given all the above key points of ATG system.</w:t>
      </w:r>
    </w:p>
    <w:p>
      <w:pPr>
        <w:pStyle w:val="3"/>
        <w:numPr>
          <w:ilvl w:val="0"/>
          <w:numId w:val="0"/>
        </w:numPr>
        <w:bidi w:val="0"/>
        <w:ind w:leftChars="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2.1 How to involve ATG RRM core requirements in TS38.133</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this issue, the following options were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3"/>
              </w:numPr>
              <w:overflowPunct/>
              <w:autoSpaceDE/>
              <w:autoSpaceDN/>
              <w:adjustRightInd/>
              <w:spacing w:after="120"/>
              <w:ind w:left="1020" w:leftChars="0" w:firstLineChars="0"/>
              <w:textAlignment w:val="auto"/>
              <w:rPr>
                <w:rFonts w:hint="eastAsia"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Option 1: Based on further conclusions on ATG specific RRM requirements to be introduced</w:t>
            </w:r>
          </w:p>
          <w:p>
            <w:pPr>
              <w:pStyle w:val="57"/>
              <w:bidi w:val="0"/>
              <w:ind w:left="1236" w:leftChars="0" w:hanging="360" w:firstLineChars="0"/>
              <w:rPr>
                <w:lang w:eastAsia="zh-CN"/>
              </w:rPr>
            </w:pPr>
            <w:r>
              <w:rPr>
                <w:lang w:eastAsia="zh-CN"/>
              </w:rPr>
              <w:t>Update the specification like HST that to make the ATG specific changes when the requirement is different from legacy one in existing sections</w:t>
            </w:r>
          </w:p>
          <w:p>
            <w:pPr>
              <w:pStyle w:val="57"/>
              <w:bidi w:val="0"/>
              <w:ind w:left="1236" w:leftChars="0" w:hanging="360" w:firstLineChars="0"/>
              <w:rPr>
                <w:lang w:eastAsia="zh-CN"/>
              </w:rPr>
            </w:pPr>
            <w:r>
              <w:rPr>
                <w:lang w:eastAsia="zh-CN"/>
              </w:rPr>
              <w:t xml:space="preserve">Create ATG specific sections for ATG requirements like NTN </w:t>
            </w:r>
          </w:p>
          <w:p>
            <w:pPr>
              <w:pStyle w:val="28"/>
              <w:numPr>
                <w:ilvl w:val="0"/>
                <w:numId w:val="3"/>
              </w:numPr>
              <w:overflowPunct/>
              <w:autoSpaceDE/>
              <w:autoSpaceDN/>
              <w:adjustRightInd/>
              <w:spacing w:after="120"/>
              <w:ind w:left="1020" w:leftChars="0" w:firstLineChars="0"/>
              <w:textAlignment w:val="auto"/>
              <w:rPr>
                <w:rFonts w:hint="default" w:eastAsia="宋体"/>
                <w:color w:val="auto"/>
                <w:sz w:val="20"/>
                <w:szCs w:val="20"/>
                <w:highlight w:val="none"/>
                <w:vertAlign w:val="baseline"/>
                <w:lang w:val="en-US" w:eastAsia="zh-CN"/>
              </w:rPr>
            </w:pPr>
            <w:r>
              <w:rPr>
                <w:rFonts w:hint="eastAsia" w:ascii="Times New Roman" w:hAnsi="Times New Roman" w:eastAsia="宋体" w:cs="Times New Roman"/>
                <w:color w:val="auto"/>
                <w:kern w:val="0"/>
                <w:sz w:val="20"/>
                <w:szCs w:val="20"/>
                <w:highlight w:val="none"/>
                <w:lang w:val="en-US" w:eastAsia="zh-CN" w:bidi="ar-SA"/>
              </w:rPr>
              <w:t xml:space="preserve">Option 2: ATG specific RRM requirements are defined in separate sections in TS 38.133. </w:t>
            </w:r>
          </w:p>
        </w:tc>
      </w:tr>
    </w:tbl>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Until right now, the main RRM impacts have been discussed and achieved the conclusion of whether and how to enhance in ATG scenario. Based on the whole RRM impacts, regarding how to capture into the spec, we prefer to reference the method in HST, i.e. make the ATG specific changes when the requirement is different from the legacy in existing sections. While for some new mechanism introduced for ATG, such as the location based mechanism for cell re-selection, so as to clearly capture the new mechanism, some new sections can be created similar as that for NTN. </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In a word, for the requirements enhancement, not need to creat new section, just add the enhanced requirement for ATG scenario similar as that for HST. For the new mechanism, new section can be created similar as that for NTN. </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1: Regarding how to involve ATG RRM core requirements in TS38.133, we prefer Option 1. For details, for the requirements enhancement, not need to creat new section, just add the enhanced requirement for ATG scenario similar as that for HST. For the new mechanism, new section can be created similar as that for NTN.</w:t>
      </w:r>
    </w:p>
    <w:p>
      <w:pPr>
        <w:pStyle w:val="3"/>
        <w:numPr>
          <w:ilvl w:val="0"/>
          <w:numId w:val="0"/>
        </w:numPr>
        <w:bidi w:val="0"/>
        <w:ind w:leftChars="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2.2 UE assistance information(UE detecting and informing the NW)</w:t>
      </w:r>
    </w:p>
    <w:p>
      <w:pPr>
        <w:pStyle w:val="4"/>
        <w:rPr>
          <w:rFonts w:hint="eastAsia" w:eastAsia="宋体"/>
          <w:color w:val="auto"/>
          <w:sz w:val="20"/>
          <w:szCs w:val="20"/>
          <w:lang w:val="en-US" w:eastAsia="zh-CN"/>
        </w:rPr>
      </w:pPr>
      <w:r>
        <w:rPr>
          <w:rFonts w:hint="eastAsia" w:eastAsia="宋体"/>
          <w:color w:val="auto"/>
          <w:sz w:val="20"/>
          <w:szCs w:val="20"/>
          <w:lang w:val="en-US" w:eastAsia="zh-CN"/>
        </w:rPr>
        <w:t>During last meeting, regarding to UAI, the following options were captured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numPr>
                <w:ilvl w:val="0"/>
                <w:numId w:val="3"/>
              </w:numPr>
              <w:overflowPunct/>
              <w:autoSpaceDE/>
              <w:autoSpaceDN/>
              <w:adjustRightInd/>
              <w:spacing w:after="120"/>
              <w:ind w:left="1020" w:leftChars="0" w:firstLineChars="0"/>
              <w:textAlignment w:val="auto"/>
              <w:rPr>
                <w:rFonts w:eastAsia="宋体"/>
                <w:szCs w:val="24"/>
                <w:lang w:eastAsia="zh-CN"/>
              </w:rPr>
            </w:pPr>
            <w:r>
              <w:rPr>
                <w:rFonts w:eastAsia="宋体"/>
                <w:szCs w:val="24"/>
                <w:lang w:eastAsia="zh-CN"/>
              </w:rPr>
              <w:t xml:space="preserve">Option 1: There is no need to preclude new UAI and its reporting methods at this stage. Postpone the decision on assistance information (both UE-based and network-based) until the RRM requirement framework is clear. </w:t>
            </w:r>
          </w:p>
          <w:p>
            <w:pPr>
              <w:pStyle w:val="28"/>
              <w:numPr>
                <w:ilvl w:val="0"/>
                <w:numId w:val="3"/>
              </w:numPr>
              <w:overflowPunct/>
              <w:autoSpaceDE/>
              <w:autoSpaceDN/>
              <w:adjustRightInd/>
              <w:spacing w:after="120"/>
              <w:ind w:left="1020" w:leftChars="0" w:firstLineChars="0"/>
              <w:textAlignment w:val="auto"/>
              <w:rPr>
                <w:rFonts w:hint="default"/>
                <w:vertAlign w:val="baseline"/>
                <w:lang w:val="en-US" w:eastAsia="zh-CN"/>
              </w:rPr>
            </w:pPr>
            <w:r>
              <w:rPr>
                <w:rFonts w:eastAsia="宋体"/>
                <w:szCs w:val="24"/>
                <w:lang w:eastAsia="zh-CN"/>
              </w:rPr>
              <w:t xml:space="preserve">Option 2: There is no obvious motivation and feasibility guarantee to introduce the above UAI report. </w:t>
            </w:r>
          </w:p>
        </w:tc>
      </w:tr>
    </w:tbl>
    <w:p>
      <w:pPr>
        <w:pStyle w:val="4"/>
        <w:rPr>
          <w:rFonts w:hint="default" w:eastAsia="宋体"/>
          <w:color w:val="auto"/>
          <w:sz w:val="20"/>
          <w:szCs w:val="20"/>
          <w:lang w:val="en-US" w:eastAsia="zh-CN"/>
        </w:rPr>
      </w:pPr>
      <w:r>
        <w:rPr>
          <w:rFonts w:hint="eastAsia" w:eastAsia="宋体"/>
          <w:color w:val="auto"/>
          <w:sz w:val="20"/>
          <w:szCs w:val="20"/>
          <w:lang w:val="en-US" w:eastAsia="zh-CN"/>
        </w:rPr>
        <w:t>During previous several meetings, multiple types of UAI were discussed, including the UAI of altitude, location, velocity, flight path, propagation delay information and remaining service time for serving cell. It seems that all of these UAI are helpful to address the timing and frequency syn related issues caused by large ISD and high speed of moving.</w:t>
      </w:r>
    </w:p>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However, regarding to all of these UAI, we raise a common concern: Under the high speed of up to 1200km/h, whether the report from UE can be received by the NW in time enough? If not, it would be meaningless. </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1: Regarding to all of these UAI, a common concern is raised: Under the high speed of up to 1200km/h, whether the report from UE can be received by the NW in time enough? If not, it would be meaningless.</w:t>
      </w:r>
    </w:p>
    <w:p>
      <w:pPr>
        <w:pStyle w:val="4"/>
        <w:rPr>
          <w:rFonts w:hint="default" w:eastAsia="宋体"/>
          <w:color w:val="auto"/>
          <w:sz w:val="20"/>
          <w:szCs w:val="20"/>
          <w:lang w:val="en-US" w:eastAsia="zh-CN"/>
        </w:rPr>
      </w:pPr>
      <w:r>
        <w:rPr>
          <w:rFonts w:hint="default" w:eastAsia="宋体"/>
          <w:color w:val="auto"/>
          <w:sz w:val="20"/>
          <w:szCs w:val="20"/>
          <w:lang w:val="en-US" w:eastAsia="zh-CN"/>
        </w:rPr>
        <w:t>To our understanding, when we talking about whether UE need to report the UAI or not, a key point is whether UE performs pre-compensation. If UE would perform time/frequency pre-compensation, the UAI such as altitude, location</w:t>
      </w:r>
      <w:r>
        <w:rPr>
          <w:rFonts w:hint="eastAsia" w:eastAsia="宋体"/>
          <w:color w:val="auto"/>
          <w:sz w:val="20"/>
          <w:szCs w:val="20"/>
          <w:lang w:val="en-US" w:eastAsia="zh-CN"/>
        </w:rPr>
        <w:t>,</w:t>
      </w:r>
      <w:r>
        <w:rPr>
          <w:rFonts w:hint="default" w:eastAsia="宋体"/>
          <w:color w:val="auto"/>
          <w:sz w:val="20"/>
          <w:szCs w:val="20"/>
          <w:lang w:val="en-US" w:eastAsia="zh-CN"/>
        </w:rPr>
        <w:t xml:space="preserve"> velocity </w:t>
      </w:r>
      <w:r>
        <w:rPr>
          <w:rFonts w:hint="eastAsia" w:eastAsia="宋体"/>
          <w:color w:val="auto"/>
          <w:sz w:val="20"/>
          <w:szCs w:val="20"/>
          <w:lang w:val="en-US" w:eastAsia="zh-CN"/>
        </w:rPr>
        <w:t xml:space="preserve">and flight path </w:t>
      </w:r>
      <w:r>
        <w:rPr>
          <w:rFonts w:hint="default" w:eastAsia="宋体"/>
          <w:color w:val="auto"/>
          <w:sz w:val="20"/>
          <w:szCs w:val="20"/>
          <w:lang w:val="en-US" w:eastAsia="zh-CN"/>
        </w:rPr>
        <w:t xml:space="preserve">are almost useless for NW. </w:t>
      </w:r>
    </w:p>
    <w:p>
      <w:pPr>
        <w:pStyle w:val="4"/>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Observation 2: If UE would perform time/frequency pre-compensation, the UAI such as altitude, location, velocity and flight path are almost useless for NW. </w:t>
      </w:r>
    </w:p>
    <w:p>
      <w:pPr>
        <w:pStyle w:val="4"/>
        <w:rPr>
          <w:rFonts w:hint="eastAsia" w:eastAsia="宋体"/>
          <w:color w:val="auto"/>
          <w:sz w:val="20"/>
          <w:szCs w:val="20"/>
          <w:lang w:val="en-US" w:eastAsia="zh-CN"/>
        </w:rPr>
      </w:pPr>
      <w:r>
        <w:rPr>
          <w:rFonts w:hint="default" w:eastAsia="宋体"/>
          <w:color w:val="auto"/>
          <w:sz w:val="20"/>
          <w:szCs w:val="20"/>
          <w:lang w:val="en-US" w:eastAsia="zh-CN"/>
        </w:rPr>
        <w:t>Referring to the timing related UAI, such as propagation delay estimation, such info can help NW to identify the overlapping between DL slot and UL slot due to large propagation delay</w:t>
      </w:r>
      <w:r>
        <w:rPr>
          <w:rFonts w:hint="eastAsia" w:eastAsia="宋体"/>
          <w:color w:val="auto"/>
          <w:sz w:val="20"/>
          <w:szCs w:val="20"/>
          <w:lang w:val="en-US" w:eastAsia="zh-CN"/>
        </w:rPr>
        <w:t xml:space="preserve"> so as to help NW identify the suitable TDD pattern</w:t>
      </w:r>
      <w:r>
        <w:rPr>
          <w:rFonts w:hint="default" w:eastAsia="宋体"/>
          <w:color w:val="auto"/>
          <w:sz w:val="20"/>
          <w:szCs w:val="20"/>
          <w:lang w:val="en-US" w:eastAsia="zh-CN"/>
        </w:rPr>
        <w:t xml:space="preserve">. </w:t>
      </w:r>
      <w:r>
        <w:rPr>
          <w:rFonts w:hint="eastAsia" w:eastAsia="宋体"/>
          <w:color w:val="auto"/>
          <w:sz w:val="20"/>
          <w:szCs w:val="20"/>
          <w:lang w:val="en-US" w:eastAsia="zh-CN"/>
        </w:rPr>
        <w:t>But the gain brought by such UAI depends on the common concern, whether the report is in time enough. When UE estimate the propagation delay, it should predict the value when NW receives such UAI report. The accuracy of such predict would determine the effect.</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3: When UE estimate the propagation delay, it should predict the value when NW receives such UAI report. The accuracy of such predict would determine the effect.</w:t>
      </w:r>
    </w:p>
    <w:p>
      <w:pPr>
        <w:pStyle w:val="4"/>
        <w:rPr>
          <w:rFonts w:hint="eastAsia" w:eastAsia="宋体"/>
          <w:color w:val="auto"/>
          <w:sz w:val="20"/>
          <w:szCs w:val="20"/>
          <w:lang w:val="en-US" w:eastAsia="zh-CN"/>
        </w:rPr>
      </w:pPr>
      <w:r>
        <w:rPr>
          <w:rFonts w:hint="eastAsia" w:eastAsia="宋体"/>
          <w:color w:val="auto"/>
          <w:sz w:val="20"/>
          <w:szCs w:val="20"/>
          <w:lang w:val="en-US" w:eastAsia="zh-CN"/>
        </w:rPr>
        <w:t>Regarding to the service related UAI, such as the remaining service time, we are not sure how to estimate such info by UE, Since all scheduling decision is up to NW.</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4: Regarding to the service related UAI, such as the remaining service time, we are not sure how to estimate such info by UE, Since all scheduling decision is up to NW.</w:t>
      </w:r>
    </w:p>
    <w:p>
      <w:pPr>
        <w:pStyle w:val="4"/>
        <w:rPr>
          <w:rFonts w:hint="default" w:eastAsia="宋体"/>
          <w:color w:val="auto"/>
          <w:sz w:val="20"/>
          <w:szCs w:val="20"/>
          <w:lang w:val="en-US" w:eastAsia="zh-CN"/>
        </w:rPr>
      </w:pPr>
      <w:r>
        <w:rPr>
          <w:rFonts w:hint="eastAsia" w:eastAsia="宋体"/>
          <w:color w:val="auto"/>
          <w:sz w:val="20"/>
          <w:szCs w:val="20"/>
          <w:lang w:val="en-US" w:eastAsia="zh-CN"/>
        </w:rPr>
        <w:t>In a whole, based on our above analysis, we can not see obvious motivation and feasibility guarantee to introduce the above UAI report.</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Based on our above analysis, we can not see obvious motivation and feasibility guarantee to introduce the above UAI report.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consideration of general RRM aspects for ATG system</w:t>
      </w:r>
      <w:r>
        <w:rPr>
          <w:rFonts w:eastAsia="宋体"/>
          <w:bCs/>
          <w:color w:val="auto"/>
          <w:sz w:val="20"/>
          <w:szCs w:val="20"/>
          <w:lang w:val="en-GB" w:eastAsia="zh-CN"/>
        </w:rPr>
        <w:t>:</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1: Regarding how to involve ATG RRM core requirements in TS38.133, we prefer Option 1. For details, for the requirements enhancement, not need to creat new section, just add the enhanced requirement for ATG scenario similar as that for HST. For the new mechanism, new section can be created similar as that for NTN.</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1: Regarding to all of these UAI, a common concern is raised: Under the high speed of up to 1200km/h, whether the report from UE can be received by the NW in time enough? If not, it would be meaningless.</w:t>
      </w:r>
    </w:p>
    <w:p>
      <w:pPr>
        <w:pStyle w:val="4"/>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Observation 2: If UE would perform time/frequency pre-compensation, the UAI such as altitude, location, velocity and flight path are almost useless for NW. </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3: When UE estimate the propagation delay, it should predict the value when NW receives such UAI report. The accuracy of such predict would determine the effect.</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4: Regarding to the service related UAI, such as the remaining service time, we are not sure how to estimate such info by UE, Since all scheduling decision is up to NW.</w:t>
      </w:r>
    </w:p>
    <w:p>
      <w:pPr>
        <w:pStyle w:val="4"/>
      </w:pPr>
      <w:r>
        <w:rPr>
          <w:rFonts w:hint="eastAsia" w:eastAsia="宋体" w:cs="Times New Roman"/>
          <w:b/>
          <w:bCs/>
          <w:color w:val="auto"/>
          <w:sz w:val="20"/>
          <w:szCs w:val="20"/>
          <w:highlight w:val="none"/>
          <w:lang w:val="en-US" w:eastAsia="zh-CN" w:bidi="ar-SA"/>
        </w:rPr>
        <w:t>Proposal 2: Based on our above analysis, we can not see obvious motivation and feasibility guarantee to introduce the above UAI report.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6"/>
        </w:numPr>
        <w:ind w:left="0" w:leftChars="0" w:firstLine="0" w:firstLineChars="0"/>
        <w:rPr>
          <w:rFonts w:hint="eastAsia"/>
          <w:color w:val="auto"/>
          <w:lang w:val="en-US" w:eastAsia="zh-CN"/>
        </w:rPr>
      </w:pPr>
      <w:r>
        <w:rPr>
          <w:rFonts w:hint="eastAsia"/>
          <w:color w:val="auto"/>
          <w:lang w:val="en-US" w:eastAsia="zh-CN"/>
        </w:rPr>
        <w:t xml:space="preserve">R4-2306344 </w:t>
      </w:r>
      <w:r>
        <w:rPr>
          <w:rFonts w:hint="default"/>
          <w:color w:val="auto"/>
          <w:lang w:val="en-US" w:eastAsia="zh-CN"/>
        </w:rPr>
        <w:t>“</w:t>
      </w:r>
      <w:bookmarkStart w:id="1" w:name="_Hlk41145953"/>
      <w:r>
        <w:rPr>
          <w:rFonts w:hint="default"/>
          <w:color w:val="auto"/>
          <w:lang w:val="en-US" w:eastAsia="zh-CN"/>
        </w:rPr>
        <w:t>WF on NR ATG RRM</w:t>
      </w:r>
      <w:bookmarkEnd w:id="1"/>
      <w:r>
        <w:rPr>
          <w:rFonts w:hint="default"/>
          <w:color w:val="auto"/>
          <w:lang w:val="en-US" w:eastAsia="zh-CN"/>
        </w:rPr>
        <w:t xml:space="preserve"> requirements”</w:t>
      </w:r>
      <w:r>
        <w:rPr>
          <w:rFonts w:hint="eastAsia"/>
          <w:color w:val="auto"/>
          <w:lang w:val="en-US" w:eastAsia="zh-CN"/>
        </w:rPr>
        <w:t>, CMCC</w:t>
      </w:r>
    </w:p>
    <w:p>
      <w:pPr>
        <w:pStyle w:val="9"/>
        <w:numPr>
          <w:ilvl w:val="0"/>
          <w:numId w:val="6"/>
        </w:numPr>
        <w:ind w:left="0" w:leftChars="0" w:firstLine="0" w:firstLineChars="0"/>
        <w:rPr>
          <w:rFonts w:hint="default"/>
          <w:color w:val="auto"/>
          <w:lang w:val="en-US" w:eastAsia="zh-CN"/>
        </w:rPr>
      </w:pPr>
      <w:r>
        <w:rPr>
          <w:rFonts w:hint="eastAsia"/>
          <w:color w:val="auto"/>
          <w:lang w:val="en-US" w:eastAsia="zh-CN"/>
        </w:rPr>
        <w:t xml:space="preserve">R4-2306243 </w:t>
      </w:r>
      <w:r>
        <w:rPr>
          <w:rFonts w:hint="default"/>
          <w:color w:val="auto"/>
          <w:lang w:val="en-US" w:eastAsia="zh-CN"/>
        </w:rPr>
        <w:t>“Topic summary for [106</w:t>
      </w:r>
      <w:r>
        <w:rPr>
          <w:rFonts w:hint="eastAsia"/>
          <w:color w:val="auto"/>
          <w:lang w:val="en-US" w:eastAsia="zh-CN"/>
        </w:rPr>
        <w:t>bis</w:t>
      </w:r>
      <w:r>
        <w:rPr>
          <w:rFonts w:hint="default"/>
          <w:color w:val="auto"/>
          <w:lang w:val="en-US" w:eastAsia="zh-CN"/>
        </w:rPr>
        <w:t>][21</w:t>
      </w:r>
      <w:r>
        <w:rPr>
          <w:rFonts w:hint="eastAsia"/>
          <w:color w:val="auto"/>
          <w:lang w:val="en-US" w:eastAsia="zh-CN"/>
        </w:rPr>
        <w:t>2</w:t>
      </w:r>
      <w:r>
        <w:rPr>
          <w:rFonts w:hint="default"/>
          <w:color w:val="auto"/>
          <w:lang w:val="en-US" w:eastAsia="zh-CN"/>
        </w:rPr>
        <w:t>] NR_ATG”</w:t>
      </w:r>
      <w:r>
        <w:rPr>
          <w:rFonts w:hint="eastAsia"/>
          <w:color w:val="auto"/>
          <w:lang w:val="en-US" w:eastAsia="zh-CN"/>
        </w:rPr>
        <w:t>, CMCC</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E50CD3B"/>
    <w:multiLevelType w:val="singleLevel"/>
    <w:tmpl w:val="3E50CD3B"/>
    <w:lvl w:ilvl="0" w:tentative="0">
      <w:start w:val="1"/>
      <w:numFmt w:val="bullet"/>
      <w:lvlText w:val=""/>
      <w:lvlJc w:val="left"/>
      <w:pPr>
        <w:ind w:left="420" w:hanging="420"/>
      </w:pPr>
      <w:rPr>
        <w:rFonts w:hint="default" w:ascii="Wingdings" w:hAnsi="Wingdings"/>
      </w:rPr>
    </w:lvl>
  </w:abstractNum>
  <w:abstractNum w:abstractNumId="3">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7"/>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317828"/>
    <w:rsid w:val="05477E90"/>
    <w:rsid w:val="05BB5AB9"/>
    <w:rsid w:val="05C42923"/>
    <w:rsid w:val="06226EA6"/>
    <w:rsid w:val="06963BA6"/>
    <w:rsid w:val="076F5BD5"/>
    <w:rsid w:val="07CD3CDD"/>
    <w:rsid w:val="083E6EA0"/>
    <w:rsid w:val="0855671D"/>
    <w:rsid w:val="089009EB"/>
    <w:rsid w:val="08EA2407"/>
    <w:rsid w:val="09716BCA"/>
    <w:rsid w:val="09D64B23"/>
    <w:rsid w:val="09E644B8"/>
    <w:rsid w:val="0A867423"/>
    <w:rsid w:val="0AB155C2"/>
    <w:rsid w:val="0B12013A"/>
    <w:rsid w:val="0B3D3C2F"/>
    <w:rsid w:val="0BB0429A"/>
    <w:rsid w:val="0BDD6CEC"/>
    <w:rsid w:val="0BFF5FC6"/>
    <w:rsid w:val="0C394019"/>
    <w:rsid w:val="0CD05342"/>
    <w:rsid w:val="0CDB4E5B"/>
    <w:rsid w:val="0DEE745F"/>
    <w:rsid w:val="0F320DDE"/>
    <w:rsid w:val="0FAD3D1E"/>
    <w:rsid w:val="0FF23B33"/>
    <w:rsid w:val="102263EF"/>
    <w:rsid w:val="10997F43"/>
    <w:rsid w:val="10DE7BAE"/>
    <w:rsid w:val="120774A3"/>
    <w:rsid w:val="12112440"/>
    <w:rsid w:val="12887761"/>
    <w:rsid w:val="12C80206"/>
    <w:rsid w:val="14006D19"/>
    <w:rsid w:val="145F7CF8"/>
    <w:rsid w:val="1481754F"/>
    <w:rsid w:val="148F32AB"/>
    <w:rsid w:val="148F5721"/>
    <w:rsid w:val="14AC57CD"/>
    <w:rsid w:val="15ED3E9B"/>
    <w:rsid w:val="164514BE"/>
    <w:rsid w:val="166B2EA9"/>
    <w:rsid w:val="16D4089E"/>
    <w:rsid w:val="16E73296"/>
    <w:rsid w:val="16FB7CA4"/>
    <w:rsid w:val="170F06AA"/>
    <w:rsid w:val="17225508"/>
    <w:rsid w:val="17B07FBC"/>
    <w:rsid w:val="180A6E32"/>
    <w:rsid w:val="183F2CD2"/>
    <w:rsid w:val="1856323E"/>
    <w:rsid w:val="18AF55E3"/>
    <w:rsid w:val="18B077E2"/>
    <w:rsid w:val="18B1519A"/>
    <w:rsid w:val="18CD0507"/>
    <w:rsid w:val="18F36BA5"/>
    <w:rsid w:val="195D7D48"/>
    <w:rsid w:val="1AD01A1B"/>
    <w:rsid w:val="1B61065A"/>
    <w:rsid w:val="1BBF3927"/>
    <w:rsid w:val="1C177B08"/>
    <w:rsid w:val="1C9001C6"/>
    <w:rsid w:val="1C900A6F"/>
    <w:rsid w:val="1CBA2101"/>
    <w:rsid w:val="1D0573D7"/>
    <w:rsid w:val="1D153DC4"/>
    <w:rsid w:val="1D223E0B"/>
    <w:rsid w:val="1D317C9F"/>
    <w:rsid w:val="1E132F88"/>
    <w:rsid w:val="1E2867E9"/>
    <w:rsid w:val="1E853F6F"/>
    <w:rsid w:val="1E9C7BCC"/>
    <w:rsid w:val="1ECC1E3C"/>
    <w:rsid w:val="208364FC"/>
    <w:rsid w:val="208953F9"/>
    <w:rsid w:val="2097232D"/>
    <w:rsid w:val="21014C39"/>
    <w:rsid w:val="21244EB1"/>
    <w:rsid w:val="213964D8"/>
    <w:rsid w:val="21595D04"/>
    <w:rsid w:val="21F13629"/>
    <w:rsid w:val="223236B6"/>
    <w:rsid w:val="2255462C"/>
    <w:rsid w:val="2305377E"/>
    <w:rsid w:val="23901822"/>
    <w:rsid w:val="24122135"/>
    <w:rsid w:val="24D4257E"/>
    <w:rsid w:val="25457F06"/>
    <w:rsid w:val="2572202B"/>
    <w:rsid w:val="2605683C"/>
    <w:rsid w:val="26BB1419"/>
    <w:rsid w:val="27B748AA"/>
    <w:rsid w:val="27CB4CB9"/>
    <w:rsid w:val="281C2F58"/>
    <w:rsid w:val="29642C4B"/>
    <w:rsid w:val="2A34628C"/>
    <w:rsid w:val="2A724D05"/>
    <w:rsid w:val="2A7E505C"/>
    <w:rsid w:val="2AC85686"/>
    <w:rsid w:val="2AD04B5F"/>
    <w:rsid w:val="2BC05B2C"/>
    <w:rsid w:val="2BD617C5"/>
    <w:rsid w:val="2C112837"/>
    <w:rsid w:val="2C9B1252"/>
    <w:rsid w:val="2C9C2786"/>
    <w:rsid w:val="2CC13667"/>
    <w:rsid w:val="2D2D0D2E"/>
    <w:rsid w:val="2E014790"/>
    <w:rsid w:val="2EE77680"/>
    <w:rsid w:val="2F2F0FC8"/>
    <w:rsid w:val="2FA70460"/>
    <w:rsid w:val="301C6BB6"/>
    <w:rsid w:val="30C9008F"/>
    <w:rsid w:val="319708F2"/>
    <w:rsid w:val="31A8260E"/>
    <w:rsid w:val="31B14C9E"/>
    <w:rsid w:val="332B149D"/>
    <w:rsid w:val="33C522D7"/>
    <w:rsid w:val="344C156B"/>
    <w:rsid w:val="34807672"/>
    <w:rsid w:val="35B06C6A"/>
    <w:rsid w:val="366149EB"/>
    <w:rsid w:val="36941AA2"/>
    <w:rsid w:val="36D37423"/>
    <w:rsid w:val="379D23F9"/>
    <w:rsid w:val="3A185287"/>
    <w:rsid w:val="3A1F46B8"/>
    <w:rsid w:val="3A692CD0"/>
    <w:rsid w:val="3AAE4AA7"/>
    <w:rsid w:val="3AF23299"/>
    <w:rsid w:val="3B270929"/>
    <w:rsid w:val="3B3D5571"/>
    <w:rsid w:val="3B673620"/>
    <w:rsid w:val="3B9A1F29"/>
    <w:rsid w:val="3C6E311D"/>
    <w:rsid w:val="3CE4646B"/>
    <w:rsid w:val="3CFC1228"/>
    <w:rsid w:val="3D5E7AA8"/>
    <w:rsid w:val="3D6F2596"/>
    <w:rsid w:val="3D946587"/>
    <w:rsid w:val="405F175E"/>
    <w:rsid w:val="40C765F3"/>
    <w:rsid w:val="42F869D2"/>
    <w:rsid w:val="43553536"/>
    <w:rsid w:val="44972678"/>
    <w:rsid w:val="451632B9"/>
    <w:rsid w:val="45906394"/>
    <w:rsid w:val="45F60A50"/>
    <w:rsid w:val="46142D0C"/>
    <w:rsid w:val="46263A53"/>
    <w:rsid w:val="46970A81"/>
    <w:rsid w:val="46B036BF"/>
    <w:rsid w:val="46CC320F"/>
    <w:rsid w:val="46F633A5"/>
    <w:rsid w:val="47282363"/>
    <w:rsid w:val="47810C98"/>
    <w:rsid w:val="47924F0A"/>
    <w:rsid w:val="480571D7"/>
    <w:rsid w:val="48F407FD"/>
    <w:rsid w:val="49DC4EAC"/>
    <w:rsid w:val="49E55BC5"/>
    <w:rsid w:val="4A5D0BB5"/>
    <w:rsid w:val="4B600E77"/>
    <w:rsid w:val="4B8F684D"/>
    <w:rsid w:val="4BF02011"/>
    <w:rsid w:val="4C1C63D6"/>
    <w:rsid w:val="4C2D52ED"/>
    <w:rsid w:val="4C864A35"/>
    <w:rsid w:val="4D207A05"/>
    <w:rsid w:val="4D53283E"/>
    <w:rsid w:val="4E015C76"/>
    <w:rsid w:val="4E0D3218"/>
    <w:rsid w:val="4E310026"/>
    <w:rsid w:val="4E4A2325"/>
    <w:rsid w:val="4ED42F55"/>
    <w:rsid w:val="4FC7362A"/>
    <w:rsid w:val="501A6C55"/>
    <w:rsid w:val="50FF2EDD"/>
    <w:rsid w:val="515B1740"/>
    <w:rsid w:val="51B14BED"/>
    <w:rsid w:val="51E51984"/>
    <w:rsid w:val="52526454"/>
    <w:rsid w:val="525C1CEF"/>
    <w:rsid w:val="528B5767"/>
    <w:rsid w:val="52D33625"/>
    <w:rsid w:val="53A3105E"/>
    <w:rsid w:val="53C64B93"/>
    <w:rsid w:val="548A6C60"/>
    <w:rsid w:val="55B1164D"/>
    <w:rsid w:val="55B4735E"/>
    <w:rsid w:val="55BB221D"/>
    <w:rsid w:val="56371459"/>
    <w:rsid w:val="56484633"/>
    <w:rsid w:val="57FF4799"/>
    <w:rsid w:val="58493723"/>
    <w:rsid w:val="58D0053D"/>
    <w:rsid w:val="595A2A3C"/>
    <w:rsid w:val="598C40A0"/>
    <w:rsid w:val="598E25F2"/>
    <w:rsid w:val="59DA647E"/>
    <w:rsid w:val="5A556E1A"/>
    <w:rsid w:val="5BF92FF2"/>
    <w:rsid w:val="5C471E62"/>
    <w:rsid w:val="5C924E81"/>
    <w:rsid w:val="5E2864D0"/>
    <w:rsid w:val="5E494511"/>
    <w:rsid w:val="5EB44FC0"/>
    <w:rsid w:val="5FBA395F"/>
    <w:rsid w:val="60094E5C"/>
    <w:rsid w:val="606F38F4"/>
    <w:rsid w:val="60CB1A8B"/>
    <w:rsid w:val="60EC2CBA"/>
    <w:rsid w:val="61C620F7"/>
    <w:rsid w:val="61CC2D28"/>
    <w:rsid w:val="635902CD"/>
    <w:rsid w:val="63DA1C8E"/>
    <w:rsid w:val="64706BBE"/>
    <w:rsid w:val="64F03EAD"/>
    <w:rsid w:val="64F2095B"/>
    <w:rsid w:val="65A16A49"/>
    <w:rsid w:val="67883F37"/>
    <w:rsid w:val="67A858DB"/>
    <w:rsid w:val="67FE4166"/>
    <w:rsid w:val="68C401C3"/>
    <w:rsid w:val="69A833BD"/>
    <w:rsid w:val="69EF6835"/>
    <w:rsid w:val="6BAB7FC7"/>
    <w:rsid w:val="6D301A35"/>
    <w:rsid w:val="6D566F0F"/>
    <w:rsid w:val="6D836F72"/>
    <w:rsid w:val="6DDE3DAF"/>
    <w:rsid w:val="6DE731FD"/>
    <w:rsid w:val="6E3241BE"/>
    <w:rsid w:val="6E774C75"/>
    <w:rsid w:val="6EB97A9D"/>
    <w:rsid w:val="6EF10A90"/>
    <w:rsid w:val="6EFC7DED"/>
    <w:rsid w:val="6F2A7FBF"/>
    <w:rsid w:val="6FFF1868"/>
    <w:rsid w:val="7007017A"/>
    <w:rsid w:val="715F4C2D"/>
    <w:rsid w:val="71920E5A"/>
    <w:rsid w:val="71B31077"/>
    <w:rsid w:val="722F78FB"/>
    <w:rsid w:val="723C2F8E"/>
    <w:rsid w:val="723D67C5"/>
    <w:rsid w:val="726A5F44"/>
    <w:rsid w:val="72BF60CA"/>
    <w:rsid w:val="72F41282"/>
    <w:rsid w:val="733D0D32"/>
    <w:rsid w:val="73B76769"/>
    <w:rsid w:val="73D411F1"/>
    <w:rsid w:val="74A356B2"/>
    <w:rsid w:val="753811DE"/>
    <w:rsid w:val="75626EA8"/>
    <w:rsid w:val="75BE67D4"/>
    <w:rsid w:val="75C2004C"/>
    <w:rsid w:val="75C759C1"/>
    <w:rsid w:val="76281B03"/>
    <w:rsid w:val="762D64F3"/>
    <w:rsid w:val="762E20AD"/>
    <w:rsid w:val="767E7EFF"/>
    <w:rsid w:val="775B4604"/>
    <w:rsid w:val="77C067C3"/>
    <w:rsid w:val="78074939"/>
    <w:rsid w:val="78911E31"/>
    <w:rsid w:val="78F9732D"/>
    <w:rsid w:val="79222E49"/>
    <w:rsid w:val="7922350F"/>
    <w:rsid w:val="792B5470"/>
    <w:rsid w:val="796B3C3F"/>
    <w:rsid w:val="79A66350"/>
    <w:rsid w:val="7A9367CB"/>
    <w:rsid w:val="7AF22571"/>
    <w:rsid w:val="7B0720CF"/>
    <w:rsid w:val="7B4C0E47"/>
    <w:rsid w:val="7B69224B"/>
    <w:rsid w:val="7BE80F25"/>
    <w:rsid w:val="7C1C35A7"/>
    <w:rsid w:val="7C45431D"/>
    <w:rsid w:val="7CEF4E07"/>
    <w:rsid w:val="7D25352B"/>
    <w:rsid w:val="7D3219D5"/>
    <w:rsid w:val="7DDD0501"/>
    <w:rsid w:val="7DE51372"/>
    <w:rsid w:val="7E12184C"/>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5</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2023-05-15T12:19:14Z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